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D46AA" w14:textId="77777777" w:rsidR="00B63220" w:rsidRPr="00DB64B3" w:rsidRDefault="00B63220" w:rsidP="00B63220">
      <w:pPr>
        <w:spacing w:before="100" w:beforeAutospacing="1" w:after="100" w:afterAutospacing="1"/>
        <w:outlineLvl w:val="0"/>
        <w:rPr>
          <w:rFonts w:ascii="Times New Roman" w:hAnsi="Times New Roman"/>
          <w:b/>
          <w:bCs/>
          <w:color w:val="000000"/>
          <w:kern w:val="36"/>
          <w:sz w:val="28"/>
          <w:szCs w:val="28"/>
        </w:rPr>
      </w:pPr>
      <w:r w:rsidRPr="00DB64B3">
        <w:rPr>
          <w:rFonts w:ascii="Times New Roman" w:hAnsi="Times New Roman"/>
          <w:b/>
          <w:bCs/>
          <w:color w:val="000000"/>
          <w:kern w:val="36"/>
          <w:sz w:val="28"/>
          <w:szCs w:val="28"/>
        </w:rPr>
        <w:t>Rapid Execution and Combat Targeting (REACT)</w:t>
      </w:r>
    </w:p>
    <w:p w14:paraId="05BC94CB" w14:textId="77777777" w:rsidR="00B63220" w:rsidRDefault="00B63220" w:rsidP="00B63220">
      <w:pPr>
        <w:rPr>
          <w:rFonts w:ascii="Times New Roman" w:hAnsi="Times New Roman"/>
          <w:color w:val="000000"/>
          <w:sz w:val="24"/>
          <w:szCs w:val="24"/>
        </w:rPr>
      </w:pPr>
      <w:r w:rsidRPr="00B63220">
        <w:rPr>
          <w:rFonts w:ascii="Times New Roman" w:hAnsi="Times New Roman"/>
          <w:color w:val="000000"/>
          <w:sz w:val="24"/>
          <w:szCs w:val="24"/>
        </w:rPr>
        <w:t xml:space="preserve">REACT, jointly managed by SMC-Det 10 and ESC, is a class V modification to Minuteman Intercontinental Ballistic Missile Launch Control Centers (ICBM LCCs) to improve emergency war order supportability. The $650 million program upgraded LCCs with state-of-the-art electronic systems. REACT will speed up missile retargeting, taking only a few minutes to perform tasks that the previous Command Data Buffer System required thirty or forty minutes to perform. REACT consists of two major components—the weapon system control element and the higher authority communications/rapid message processing element. The WSCE controls all weapon system related functions. The HAC/RMPE integrates all higher authority communications, and passes instructions to the "WSCE side" for processing. </w:t>
      </w:r>
    </w:p>
    <w:p w14:paraId="2EA4E998" w14:textId="77777777" w:rsidR="00DB64B3" w:rsidRPr="00B63220" w:rsidRDefault="00DB64B3" w:rsidP="00B63220">
      <w:pPr>
        <w:rPr>
          <w:rFonts w:ascii="Times New Roman" w:hAnsi="Times New Roman"/>
          <w:color w:val="000000"/>
          <w:sz w:val="24"/>
          <w:szCs w:val="24"/>
        </w:rPr>
      </w:pPr>
    </w:p>
    <w:p w14:paraId="07A22864" w14:textId="77777777" w:rsidR="00B63220" w:rsidRDefault="00B63220" w:rsidP="00B63220">
      <w:pPr>
        <w:rPr>
          <w:rFonts w:ascii="Times New Roman" w:hAnsi="Times New Roman"/>
          <w:color w:val="000000"/>
          <w:sz w:val="24"/>
          <w:szCs w:val="24"/>
        </w:rPr>
      </w:pPr>
      <w:r w:rsidRPr="00B63220">
        <w:rPr>
          <w:rFonts w:ascii="Times New Roman" w:hAnsi="Times New Roman"/>
          <w:color w:val="000000"/>
          <w:sz w:val="24"/>
          <w:szCs w:val="24"/>
        </w:rPr>
        <w:t xml:space="preserve">SMC-Det 10 provides the weapon system control element while ESC provides integration of Strategic Automated Command and Control System (SACCS), AFSATCOM, Survivable Low Frequency Communication System (SLFCS) and ICBM Super-high Frequency Satellite Terminal (ISST) communications and enhanced processing of emergency action messages to meet AFSPACECOM and USSTRATCOM's warfighting needs. </w:t>
      </w:r>
    </w:p>
    <w:p w14:paraId="72F43255" w14:textId="77777777" w:rsidR="00DB64B3" w:rsidRPr="00B63220" w:rsidRDefault="00DB64B3" w:rsidP="00B63220">
      <w:pPr>
        <w:rPr>
          <w:rFonts w:ascii="Times New Roman" w:hAnsi="Times New Roman"/>
          <w:color w:val="000000"/>
          <w:sz w:val="24"/>
          <w:szCs w:val="24"/>
        </w:rPr>
      </w:pPr>
    </w:p>
    <w:tbl>
      <w:tblPr>
        <w:tblW w:w="4500" w:type="pct"/>
        <w:tblCellSpacing w:w="7" w:type="dxa"/>
        <w:tblCellMar>
          <w:top w:w="60" w:type="dxa"/>
          <w:left w:w="60" w:type="dxa"/>
          <w:bottom w:w="60" w:type="dxa"/>
          <w:right w:w="60" w:type="dxa"/>
        </w:tblCellMar>
        <w:tblLook w:val="0000" w:firstRow="0" w:lastRow="0" w:firstColumn="0" w:lastColumn="0" w:noHBand="0" w:noVBand="0"/>
      </w:tblPr>
      <w:tblGrid>
        <w:gridCol w:w="2341"/>
        <w:gridCol w:w="5435"/>
      </w:tblGrid>
      <w:tr w:rsidR="00B63220" w:rsidRPr="00B63220" w14:paraId="1B6541AD" w14:textId="77777777">
        <w:trPr>
          <w:tblCellSpacing w:w="7" w:type="dxa"/>
        </w:trPr>
        <w:tc>
          <w:tcPr>
            <w:tcW w:w="0" w:type="auto"/>
            <w:gridSpan w:val="2"/>
            <w:shd w:val="clear" w:color="auto" w:fill="000080"/>
            <w:vAlign w:val="center"/>
          </w:tcPr>
          <w:p w14:paraId="1D3BD4F3" w14:textId="77777777" w:rsidR="00B63220" w:rsidRPr="00B63220" w:rsidRDefault="00B63220" w:rsidP="00B63220">
            <w:pPr>
              <w:spacing w:before="100" w:beforeAutospacing="1" w:after="100" w:afterAutospacing="1"/>
              <w:jc w:val="center"/>
              <w:outlineLvl w:val="0"/>
              <w:rPr>
                <w:rFonts w:ascii="Times New Roman" w:hAnsi="Times New Roman"/>
                <w:b/>
                <w:bCs/>
                <w:color w:val="000000"/>
                <w:kern w:val="36"/>
                <w:sz w:val="48"/>
                <w:szCs w:val="48"/>
              </w:rPr>
            </w:pPr>
            <w:r w:rsidRPr="00B63220">
              <w:rPr>
                <w:rFonts w:ascii="Times New Roman" w:hAnsi="Times New Roman"/>
                <w:b/>
                <w:bCs/>
                <w:color w:val="FFFFFF"/>
                <w:kern w:val="36"/>
                <w:sz w:val="48"/>
                <w:szCs w:val="48"/>
              </w:rPr>
              <w:t>Specifications</w:t>
            </w:r>
          </w:p>
        </w:tc>
      </w:tr>
      <w:tr w:rsidR="00B63220" w:rsidRPr="00B63220" w14:paraId="3C9622C0" w14:textId="77777777">
        <w:trPr>
          <w:tblCellSpacing w:w="7" w:type="dxa"/>
        </w:trPr>
        <w:tc>
          <w:tcPr>
            <w:tcW w:w="1500" w:type="pct"/>
            <w:shd w:val="clear" w:color="auto" w:fill="FFFFFF"/>
            <w:vAlign w:val="center"/>
          </w:tcPr>
          <w:p w14:paraId="169543B2" w14:textId="77777777" w:rsidR="00B63220" w:rsidRPr="00B63220" w:rsidRDefault="00B63220" w:rsidP="00B63220">
            <w:pPr>
              <w:rPr>
                <w:rFonts w:ascii="Times New Roman" w:hAnsi="Times New Roman"/>
                <w:color w:val="000000"/>
                <w:sz w:val="24"/>
                <w:szCs w:val="24"/>
              </w:rPr>
            </w:pPr>
            <w:r w:rsidRPr="00B63220">
              <w:rPr>
                <w:rFonts w:ascii="Times New Roman" w:hAnsi="Times New Roman"/>
                <w:color w:val="000000"/>
                <w:sz w:val="24"/>
                <w:szCs w:val="24"/>
              </w:rPr>
              <w:t xml:space="preserve">Prime Contractor: </w:t>
            </w:r>
          </w:p>
        </w:tc>
        <w:tc>
          <w:tcPr>
            <w:tcW w:w="0" w:type="auto"/>
            <w:shd w:val="clear" w:color="auto" w:fill="FFFFFF"/>
            <w:vAlign w:val="center"/>
          </w:tcPr>
          <w:p w14:paraId="7752BFD4" w14:textId="77777777" w:rsidR="00B63220" w:rsidRPr="00B63220" w:rsidRDefault="00B63220" w:rsidP="00B63220">
            <w:pPr>
              <w:rPr>
                <w:rFonts w:ascii="Times New Roman" w:hAnsi="Times New Roman"/>
                <w:color w:val="000000"/>
                <w:sz w:val="24"/>
                <w:szCs w:val="24"/>
              </w:rPr>
            </w:pPr>
            <w:r w:rsidRPr="00B63220">
              <w:rPr>
                <w:rFonts w:ascii="Times New Roman" w:hAnsi="Times New Roman"/>
                <w:color w:val="000000"/>
                <w:sz w:val="24"/>
                <w:szCs w:val="24"/>
              </w:rPr>
              <w:t xml:space="preserve">GTE Government Systems Corp. </w:t>
            </w:r>
          </w:p>
        </w:tc>
      </w:tr>
      <w:tr w:rsidR="00B63220" w:rsidRPr="00B63220" w14:paraId="0679B9AD" w14:textId="77777777">
        <w:trPr>
          <w:tblCellSpacing w:w="7" w:type="dxa"/>
        </w:trPr>
        <w:tc>
          <w:tcPr>
            <w:tcW w:w="1500" w:type="pct"/>
            <w:shd w:val="clear" w:color="auto" w:fill="FFFFFF"/>
            <w:vAlign w:val="center"/>
          </w:tcPr>
          <w:p w14:paraId="66BFE79B" w14:textId="77777777" w:rsidR="00B63220" w:rsidRPr="00B63220" w:rsidRDefault="00B63220" w:rsidP="00B63220">
            <w:pPr>
              <w:rPr>
                <w:rFonts w:ascii="Times New Roman" w:hAnsi="Times New Roman"/>
                <w:color w:val="000000"/>
                <w:sz w:val="24"/>
                <w:szCs w:val="24"/>
              </w:rPr>
            </w:pPr>
            <w:r w:rsidRPr="00B63220">
              <w:rPr>
                <w:rFonts w:ascii="Times New Roman" w:hAnsi="Times New Roman"/>
                <w:color w:val="000000"/>
                <w:sz w:val="24"/>
                <w:szCs w:val="24"/>
              </w:rPr>
              <w:t xml:space="preserve">Acquisition Phase: </w:t>
            </w:r>
          </w:p>
        </w:tc>
        <w:tc>
          <w:tcPr>
            <w:tcW w:w="0" w:type="auto"/>
            <w:shd w:val="clear" w:color="auto" w:fill="FFFFFF"/>
            <w:vAlign w:val="center"/>
          </w:tcPr>
          <w:p w14:paraId="6B250690" w14:textId="77777777" w:rsidR="00B63220" w:rsidRPr="00B63220" w:rsidRDefault="00B63220" w:rsidP="00B63220">
            <w:pPr>
              <w:rPr>
                <w:rFonts w:ascii="Times New Roman" w:hAnsi="Times New Roman"/>
                <w:color w:val="000000"/>
                <w:sz w:val="24"/>
                <w:szCs w:val="24"/>
              </w:rPr>
            </w:pPr>
            <w:r w:rsidRPr="00B63220">
              <w:rPr>
                <w:rFonts w:ascii="Times New Roman" w:hAnsi="Times New Roman"/>
                <w:color w:val="000000"/>
                <w:sz w:val="24"/>
                <w:szCs w:val="24"/>
              </w:rPr>
              <w:t xml:space="preserve">Developmental, Production, Deployment </w:t>
            </w:r>
          </w:p>
        </w:tc>
      </w:tr>
      <w:tr w:rsidR="00B63220" w:rsidRPr="00B63220" w14:paraId="026A9A26" w14:textId="77777777">
        <w:trPr>
          <w:tblCellSpacing w:w="7" w:type="dxa"/>
        </w:trPr>
        <w:tc>
          <w:tcPr>
            <w:tcW w:w="1500" w:type="pct"/>
            <w:shd w:val="clear" w:color="auto" w:fill="FFFFFF"/>
            <w:vAlign w:val="center"/>
          </w:tcPr>
          <w:p w14:paraId="06D4E2F7" w14:textId="77777777" w:rsidR="00B63220" w:rsidRPr="00B63220" w:rsidRDefault="00B63220" w:rsidP="00B63220">
            <w:pPr>
              <w:rPr>
                <w:rFonts w:ascii="Times New Roman" w:hAnsi="Times New Roman"/>
                <w:color w:val="000000"/>
                <w:sz w:val="24"/>
                <w:szCs w:val="24"/>
              </w:rPr>
            </w:pPr>
            <w:r w:rsidRPr="00B63220">
              <w:rPr>
                <w:rFonts w:ascii="Times New Roman" w:hAnsi="Times New Roman"/>
                <w:color w:val="000000"/>
                <w:sz w:val="24"/>
                <w:szCs w:val="24"/>
              </w:rPr>
              <w:t xml:space="preserve">Point of Contact: </w:t>
            </w:r>
          </w:p>
        </w:tc>
        <w:tc>
          <w:tcPr>
            <w:tcW w:w="0" w:type="auto"/>
            <w:shd w:val="clear" w:color="auto" w:fill="FFFFFF"/>
            <w:vAlign w:val="center"/>
          </w:tcPr>
          <w:p w14:paraId="3013CB4A" w14:textId="77777777" w:rsidR="00B63220" w:rsidRPr="00B63220" w:rsidRDefault="00B63220" w:rsidP="00B63220">
            <w:pPr>
              <w:rPr>
                <w:rFonts w:ascii="Times New Roman" w:hAnsi="Times New Roman"/>
                <w:color w:val="000000"/>
                <w:sz w:val="24"/>
                <w:szCs w:val="24"/>
              </w:rPr>
            </w:pPr>
            <w:r w:rsidRPr="00B63220">
              <w:rPr>
                <w:rFonts w:ascii="Times New Roman" w:hAnsi="Times New Roman"/>
                <w:color w:val="000000"/>
                <w:sz w:val="24"/>
                <w:szCs w:val="24"/>
              </w:rPr>
              <w:t xml:space="preserve">Maj McGee (617) 271-8137 </w:t>
            </w:r>
          </w:p>
        </w:tc>
      </w:tr>
    </w:tbl>
    <w:p w14:paraId="4EA84320" w14:textId="77777777" w:rsidR="00B63220" w:rsidRDefault="00B63220" w:rsidP="00B63220">
      <w:pPr>
        <w:jc w:val="center"/>
        <w:rPr>
          <w:rFonts w:ascii="Times New Roman" w:hAnsi="Times New Roman"/>
          <w:color w:val="000000"/>
          <w:sz w:val="24"/>
          <w:szCs w:val="24"/>
        </w:rPr>
      </w:pPr>
    </w:p>
    <w:p w14:paraId="2823F99F" w14:textId="7734AAD0" w:rsidR="00B63220" w:rsidRPr="00B63220" w:rsidRDefault="00341D0F" w:rsidP="00B63220">
      <w:pPr>
        <w:jc w:val="center"/>
        <w:rPr>
          <w:rFonts w:ascii="Times New Roman" w:hAnsi="Times New Roman"/>
          <w:color w:val="000000"/>
          <w:sz w:val="24"/>
          <w:szCs w:val="24"/>
        </w:rPr>
      </w:pPr>
      <w:r w:rsidRPr="00B63220">
        <w:rPr>
          <w:rFonts w:ascii="Times New Roman" w:hAnsi="Times New Roman"/>
          <w:noProof/>
          <w:color w:val="0000FF"/>
          <w:sz w:val="24"/>
          <w:szCs w:val="24"/>
        </w:rPr>
        <w:drawing>
          <wp:inline distT="0" distB="0" distL="0" distR="0" wp14:anchorId="1E17F615" wp14:editId="7812758D">
            <wp:extent cx="2190750" cy="1428750"/>
            <wp:effectExtent l="0" t="0" r="0" b="0"/>
            <wp:docPr id="1"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0750" cy="1428750"/>
                    </a:xfrm>
                    <a:prstGeom prst="rect">
                      <a:avLst/>
                    </a:prstGeom>
                    <a:noFill/>
                    <a:ln>
                      <a:noFill/>
                    </a:ln>
                  </pic:spPr>
                </pic:pic>
              </a:graphicData>
            </a:graphic>
          </wp:inline>
        </w:drawing>
      </w:r>
    </w:p>
    <w:p w14:paraId="072C0ED3" w14:textId="77777777" w:rsidR="00B63220" w:rsidRPr="00B63220" w:rsidRDefault="00B63220" w:rsidP="00B63220">
      <w:pPr>
        <w:spacing w:before="100" w:beforeAutospacing="1" w:after="100" w:afterAutospacing="1"/>
        <w:outlineLvl w:val="1"/>
        <w:rPr>
          <w:rFonts w:ascii="Times New Roman" w:hAnsi="Times New Roman"/>
          <w:b/>
          <w:bCs/>
          <w:color w:val="000000"/>
          <w:sz w:val="36"/>
          <w:szCs w:val="36"/>
        </w:rPr>
      </w:pPr>
      <w:r w:rsidRPr="00B63220">
        <w:rPr>
          <w:rFonts w:ascii="Times New Roman" w:hAnsi="Times New Roman"/>
          <w:b/>
          <w:bCs/>
          <w:color w:val="000000"/>
          <w:sz w:val="36"/>
          <w:szCs w:val="36"/>
        </w:rPr>
        <w:t>Sources and Resources</w:t>
      </w:r>
    </w:p>
    <w:p w14:paraId="404161C2" w14:textId="77777777" w:rsidR="00B63220" w:rsidRPr="00B63220" w:rsidRDefault="00B63220" w:rsidP="00B63220">
      <w:pPr>
        <w:numPr>
          <w:ilvl w:val="0"/>
          <w:numId w:val="1"/>
        </w:numPr>
        <w:spacing w:before="100" w:beforeAutospacing="1" w:after="100" w:afterAutospacing="1"/>
        <w:rPr>
          <w:rFonts w:ascii="Times New Roman" w:hAnsi="Times New Roman"/>
          <w:color w:val="000000"/>
          <w:sz w:val="24"/>
          <w:szCs w:val="24"/>
        </w:rPr>
      </w:pPr>
      <w:hyperlink r:id="rId7" w:history="1">
        <w:r w:rsidRPr="00B63220">
          <w:rPr>
            <w:rFonts w:ascii="Times New Roman" w:hAnsi="Times New Roman"/>
            <w:color w:val="0000FF"/>
            <w:sz w:val="24"/>
            <w:szCs w:val="24"/>
            <w:u w:val="single"/>
          </w:rPr>
          <w:t xml:space="preserve">Targets of Opportunity. How nuclear planners found new targets for old weapons </w:t>
        </w:r>
      </w:hyperlink>
      <w:r w:rsidRPr="00B63220">
        <w:rPr>
          <w:rFonts w:ascii="Times New Roman" w:hAnsi="Times New Roman"/>
          <w:color w:val="000000"/>
          <w:sz w:val="24"/>
          <w:szCs w:val="24"/>
        </w:rPr>
        <w:t xml:space="preserve">By Hans Kristensen </w:t>
      </w:r>
      <w:r w:rsidRPr="00B63220">
        <w:rPr>
          <w:rFonts w:ascii="Times New Roman" w:hAnsi="Times New Roman"/>
          <w:color w:val="000000"/>
          <w:sz w:val="24"/>
          <w:szCs w:val="24"/>
          <w:u w:val="single"/>
        </w:rPr>
        <w:t>Bulletin of the Atomic Scientists</w:t>
      </w:r>
      <w:r w:rsidRPr="00B63220">
        <w:rPr>
          <w:rFonts w:ascii="Times New Roman" w:hAnsi="Times New Roman"/>
          <w:color w:val="000000"/>
          <w:sz w:val="24"/>
          <w:szCs w:val="24"/>
        </w:rPr>
        <w:t xml:space="preserve"> September/October 1997 Vol. 53, No. 5. </w:t>
      </w:r>
    </w:p>
    <w:p w14:paraId="275036A8" w14:textId="77777777" w:rsidR="00B63220" w:rsidRPr="00B63220" w:rsidRDefault="00B63220" w:rsidP="00B63220">
      <w:pPr>
        <w:numPr>
          <w:ilvl w:val="0"/>
          <w:numId w:val="1"/>
        </w:numPr>
        <w:spacing w:before="100" w:beforeAutospacing="1" w:after="100" w:afterAutospacing="1"/>
        <w:rPr>
          <w:rFonts w:ascii="Times New Roman" w:hAnsi="Times New Roman"/>
          <w:color w:val="000000"/>
          <w:sz w:val="24"/>
          <w:szCs w:val="24"/>
        </w:rPr>
      </w:pPr>
      <w:hyperlink r:id="rId8" w:history="1">
        <w:r w:rsidRPr="00B63220">
          <w:rPr>
            <w:rFonts w:ascii="Times New Roman" w:hAnsi="Times New Roman"/>
            <w:color w:val="0000FF"/>
            <w:sz w:val="24"/>
            <w:szCs w:val="24"/>
            <w:u w:val="single"/>
          </w:rPr>
          <w:t xml:space="preserve">Upgrades for Cold War Mainstays </w:t>
        </w:r>
      </w:hyperlink>
      <w:r w:rsidRPr="00B63220">
        <w:rPr>
          <w:rFonts w:ascii="Times New Roman" w:hAnsi="Times New Roman"/>
          <w:color w:val="000000"/>
          <w:sz w:val="24"/>
          <w:szCs w:val="24"/>
          <w:u w:val="single"/>
        </w:rPr>
        <w:t xml:space="preserve">Air Force Magazine </w:t>
      </w:r>
      <w:r w:rsidRPr="00B63220">
        <w:rPr>
          <w:rFonts w:ascii="Times New Roman" w:hAnsi="Times New Roman"/>
          <w:color w:val="000000"/>
          <w:sz w:val="24"/>
          <w:szCs w:val="24"/>
        </w:rPr>
        <w:t xml:space="preserve">December 1995 </w:t>
      </w:r>
    </w:p>
    <w:p w14:paraId="4B4D8314" w14:textId="50E062E6" w:rsidR="00B63220" w:rsidRDefault="00B63220" w:rsidP="00B63220">
      <w:pPr>
        <w:numPr>
          <w:ilvl w:val="0"/>
          <w:numId w:val="1"/>
        </w:numPr>
        <w:spacing w:before="100" w:beforeAutospacing="1" w:after="100" w:afterAutospacing="1"/>
        <w:rPr>
          <w:rFonts w:ascii="Times New Roman" w:hAnsi="Times New Roman"/>
          <w:color w:val="000000"/>
          <w:sz w:val="24"/>
          <w:szCs w:val="24"/>
        </w:rPr>
      </w:pPr>
      <w:hyperlink r:id="rId9" w:history="1">
        <w:r w:rsidRPr="00B63220">
          <w:rPr>
            <w:rFonts w:ascii="Times New Roman" w:hAnsi="Times New Roman"/>
            <w:color w:val="0000FF"/>
            <w:sz w:val="24"/>
            <w:szCs w:val="24"/>
            <w:u w:val="single"/>
          </w:rPr>
          <w:t>REACT Modifications Complete</w:t>
        </w:r>
      </w:hyperlink>
      <w:r w:rsidRPr="00B63220">
        <w:rPr>
          <w:rFonts w:ascii="Times New Roman" w:hAnsi="Times New Roman"/>
          <w:color w:val="000000"/>
          <w:sz w:val="24"/>
          <w:szCs w:val="24"/>
        </w:rPr>
        <w:t xml:space="preserve"> </w:t>
      </w:r>
      <w:r w:rsidRPr="00B63220">
        <w:rPr>
          <w:rFonts w:ascii="Times New Roman" w:hAnsi="Times New Roman"/>
          <w:color w:val="000000"/>
          <w:sz w:val="24"/>
          <w:szCs w:val="24"/>
          <w:u w:val="single"/>
        </w:rPr>
        <w:t>Guardian Magazine</w:t>
      </w:r>
      <w:r w:rsidRPr="00B63220">
        <w:rPr>
          <w:rFonts w:ascii="Times New Roman" w:hAnsi="Times New Roman"/>
          <w:color w:val="000000"/>
          <w:sz w:val="24"/>
          <w:szCs w:val="24"/>
        </w:rPr>
        <w:t xml:space="preserve"> - September 1996. </w:t>
      </w:r>
    </w:p>
    <w:p w14:paraId="77AA6B02" w14:textId="26582784" w:rsidR="00A508F7" w:rsidRPr="00341D0F" w:rsidRDefault="00341D0F" w:rsidP="00341D0F">
      <w:pPr>
        <w:spacing w:before="100" w:beforeAutospacing="1" w:after="100" w:afterAutospacing="1"/>
        <w:rPr>
          <w:rFonts w:ascii="Times New Roman" w:hAnsi="Times New Roman"/>
          <w:color w:val="000000"/>
          <w:sz w:val="24"/>
          <w:szCs w:val="24"/>
        </w:rPr>
      </w:pPr>
      <w:r>
        <w:rPr>
          <w:rFonts w:ascii="Times New Roman" w:hAnsi="Times New Roman"/>
          <w:color w:val="000000"/>
          <w:sz w:val="24"/>
          <w:szCs w:val="24"/>
        </w:rPr>
        <w:t>Design and operational specifications are classified Top Secret.</w:t>
      </w:r>
      <w:bookmarkStart w:id="0" w:name="_GoBack"/>
      <w:bookmarkEnd w:id="0"/>
    </w:p>
    <w:sectPr w:rsidR="00A508F7" w:rsidRPr="00341D0F"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F62409"/>
    <w:multiLevelType w:val="multilevel"/>
    <w:tmpl w:val="55ECB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90E"/>
    <w:rsid w:val="00341D0F"/>
    <w:rsid w:val="00734298"/>
    <w:rsid w:val="00A508F7"/>
    <w:rsid w:val="00B63220"/>
    <w:rsid w:val="00DB64B3"/>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B60A7"/>
  <w15:chartTrackingRefBased/>
  <w15:docId w15:val="{88A27139-88FA-41A4-B6B2-451B066E7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B63220"/>
    <w:pPr>
      <w:spacing w:before="100" w:beforeAutospacing="1" w:after="100" w:afterAutospacing="1"/>
      <w:outlineLvl w:val="0"/>
    </w:pPr>
    <w:rPr>
      <w:rFonts w:ascii="Times New Roman" w:hAnsi="Times New Roman"/>
      <w:b/>
      <w:bCs/>
      <w:color w:val="000000"/>
      <w:kern w:val="36"/>
      <w:sz w:val="48"/>
      <w:szCs w:val="48"/>
    </w:rPr>
  </w:style>
  <w:style w:type="paragraph" w:styleId="Heading2">
    <w:name w:val="heading 2"/>
    <w:basedOn w:val="Normal"/>
    <w:qFormat/>
    <w:rsid w:val="00B63220"/>
    <w:pPr>
      <w:spacing w:before="100" w:beforeAutospacing="1" w:after="100" w:afterAutospacing="1"/>
      <w:outlineLvl w:val="1"/>
    </w:pPr>
    <w:rPr>
      <w:rFonts w:ascii="Times New Roman" w:hAnsi="Times New Roman"/>
      <w:b/>
      <w:bCs/>
      <w:color w:val="000000"/>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632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729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afa.org/magazine/12awnn21.html" TargetMode="External"/><Relationship Id="rId3" Type="http://schemas.openxmlformats.org/officeDocument/2006/relationships/settings" Target="settings.xml"/><Relationship Id="rId7" Type="http://schemas.openxmlformats.org/officeDocument/2006/relationships/hyperlink" Target="http://www.bullatomsci.org/issues/1997/so97/so97kristense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fas.org/nuke/guide/usa/c3i/react-DFST9803327_JPG.jp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acecom.af.mil/HQAFSPC/library/guardmag/gm9609/articl0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Rapid Execution and Combat Targeting (REACT)</vt:lpstr>
    </vt:vector>
  </TitlesOfParts>
  <Company>Development Technologies, Inc.</Company>
  <LinksUpToDate>false</LinksUpToDate>
  <CharactersWithSpaces>2003</CharactersWithSpaces>
  <SharedDoc>false</SharedDoc>
  <HLinks>
    <vt:vector size="24" baseType="variant">
      <vt:variant>
        <vt:i4>2555944</vt:i4>
      </vt:variant>
      <vt:variant>
        <vt:i4>12</vt:i4>
      </vt:variant>
      <vt:variant>
        <vt:i4>0</vt:i4>
      </vt:variant>
      <vt:variant>
        <vt:i4>5</vt:i4>
      </vt:variant>
      <vt:variant>
        <vt:lpwstr>http://www.spacecom.af.mil/HQAFSPC/library/guardmag/gm9609/articl01.htm</vt:lpwstr>
      </vt:variant>
      <vt:variant>
        <vt:lpwstr/>
      </vt:variant>
      <vt:variant>
        <vt:i4>851999</vt:i4>
      </vt:variant>
      <vt:variant>
        <vt:i4>9</vt:i4>
      </vt:variant>
      <vt:variant>
        <vt:i4>0</vt:i4>
      </vt:variant>
      <vt:variant>
        <vt:i4>5</vt:i4>
      </vt:variant>
      <vt:variant>
        <vt:lpwstr>http://www.afa.org/magazine/12awnn21.html</vt:lpwstr>
      </vt:variant>
      <vt:variant>
        <vt:lpwstr/>
      </vt:variant>
      <vt:variant>
        <vt:i4>2490407</vt:i4>
      </vt:variant>
      <vt:variant>
        <vt:i4>6</vt:i4>
      </vt:variant>
      <vt:variant>
        <vt:i4>0</vt:i4>
      </vt:variant>
      <vt:variant>
        <vt:i4>5</vt:i4>
      </vt:variant>
      <vt:variant>
        <vt:lpwstr>http://www.bullatomsci.org/issues/1997/so97/so97kristensen.html</vt:lpwstr>
      </vt:variant>
      <vt:variant>
        <vt:lpwstr/>
      </vt:variant>
      <vt:variant>
        <vt:i4>1245245</vt:i4>
      </vt:variant>
      <vt:variant>
        <vt:i4>0</vt:i4>
      </vt:variant>
      <vt:variant>
        <vt:i4>0</vt:i4>
      </vt:variant>
      <vt:variant>
        <vt:i4>5</vt:i4>
      </vt:variant>
      <vt:variant>
        <vt:lpwstr>http://www.fas.org/nuke/guide/usa/c3i/react-DFST9803327_JPG.jpg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Rapid Execution and Combat Targeting (REACT)</dc:title>
  <dc:subject/>
  <dc:creator>Tino Randall</dc:creator>
  <cp:keywords/>
  <dc:description/>
  <cp:lastModifiedBy>Tino Randall</cp:lastModifiedBy>
  <cp:revision>2</cp:revision>
  <dcterms:created xsi:type="dcterms:W3CDTF">2020-03-09T15:59:00Z</dcterms:created>
  <dcterms:modified xsi:type="dcterms:W3CDTF">2020-03-09T15:59:00Z</dcterms:modified>
</cp:coreProperties>
</file>